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0F6" w:rsidRPr="002820F6" w:rsidRDefault="002820F6" w:rsidP="002820F6">
      <w:pPr>
        <w:spacing w:line="480" w:lineRule="auto"/>
        <w:rPr>
          <w:rFonts w:ascii="Times New Roman" w:hAnsi="Times New Roman" w:cs="Times New Roman"/>
          <w:sz w:val="24"/>
          <w:szCs w:val="24"/>
        </w:rPr>
      </w:pPr>
    </w:p>
    <w:p w:rsidR="002820F6" w:rsidRPr="002820F6" w:rsidRDefault="002820F6" w:rsidP="002820F6">
      <w:pPr>
        <w:spacing w:line="480" w:lineRule="auto"/>
        <w:rPr>
          <w:rFonts w:ascii="Times New Roman" w:hAnsi="Times New Roman" w:cs="Times New Roman"/>
          <w:sz w:val="24"/>
          <w:szCs w:val="24"/>
        </w:rPr>
      </w:pPr>
    </w:p>
    <w:p w:rsidR="002820F6" w:rsidRPr="002820F6" w:rsidRDefault="002820F6" w:rsidP="002820F6">
      <w:pPr>
        <w:spacing w:line="480" w:lineRule="auto"/>
        <w:rPr>
          <w:rFonts w:ascii="Times New Roman" w:hAnsi="Times New Roman" w:cs="Times New Roman"/>
          <w:sz w:val="24"/>
          <w:szCs w:val="24"/>
        </w:rPr>
      </w:pPr>
    </w:p>
    <w:p w:rsidR="002820F6" w:rsidRPr="002820F6" w:rsidRDefault="002820F6" w:rsidP="002820F6">
      <w:pPr>
        <w:spacing w:line="480" w:lineRule="auto"/>
        <w:rPr>
          <w:rFonts w:ascii="Times New Roman" w:hAnsi="Times New Roman" w:cs="Times New Roman"/>
          <w:sz w:val="24"/>
          <w:szCs w:val="24"/>
        </w:rPr>
      </w:pPr>
    </w:p>
    <w:p w:rsidR="002820F6" w:rsidRPr="002820F6" w:rsidRDefault="002820F6" w:rsidP="002820F6">
      <w:pPr>
        <w:spacing w:line="480" w:lineRule="auto"/>
        <w:rPr>
          <w:rFonts w:ascii="Times New Roman" w:hAnsi="Times New Roman" w:cs="Times New Roman"/>
          <w:sz w:val="24"/>
          <w:szCs w:val="24"/>
        </w:rPr>
      </w:pPr>
    </w:p>
    <w:p w:rsidR="002820F6" w:rsidRPr="002820F6" w:rsidRDefault="002820F6" w:rsidP="002820F6">
      <w:pPr>
        <w:spacing w:line="480" w:lineRule="auto"/>
        <w:rPr>
          <w:rFonts w:ascii="Times New Roman" w:hAnsi="Times New Roman" w:cs="Times New Roman"/>
          <w:sz w:val="24"/>
          <w:szCs w:val="24"/>
        </w:rPr>
      </w:pPr>
    </w:p>
    <w:p w:rsidR="002820F6" w:rsidRPr="002820F6" w:rsidRDefault="002820F6" w:rsidP="002820F6">
      <w:pPr>
        <w:spacing w:line="480" w:lineRule="auto"/>
        <w:jc w:val="center"/>
        <w:rPr>
          <w:rFonts w:ascii="Times New Roman" w:hAnsi="Times New Roman" w:cs="Times New Roman"/>
          <w:sz w:val="24"/>
          <w:szCs w:val="24"/>
        </w:rPr>
      </w:pPr>
      <w:r w:rsidRPr="002820F6">
        <w:rPr>
          <w:rFonts w:ascii="Times New Roman" w:hAnsi="Times New Roman" w:cs="Times New Roman"/>
          <w:sz w:val="24"/>
          <w:szCs w:val="24"/>
        </w:rPr>
        <w:t>Programs and Services for Aging Population</w:t>
      </w:r>
    </w:p>
    <w:p w:rsidR="002820F6" w:rsidRPr="002820F6" w:rsidRDefault="002820F6" w:rsidP="002820F6">
      <w:pPr>
        <w:spacing w:line="480" w:lineRule="auto"/>
        <w:jc w:val="center"/>
        <w:rPr>
          <w:rFonts w:ascii="Times New Roman" w:hAnsi="Times New Roman" w:cs="Times New Roman"/>
          <w:sz w:val="24"/>
          <w:szCs w:val="24"/>
        </w:rPr>
      </w:pPr>
      <w:r w:rsidRPr="002820F6">
        <w:rPr>
          <w:rFonts w:ascii="Times New Roman" w:hAnsi="Times New Roman" w:cs="Times New Roman"/>
          <w:sz w:val="24"/>
          <w:szCs w:val="24"/>
        </w:rPr>
        <w:t>Name</w:t>
      </w:r>
    </w:p>
    <w:p w:rsidR="002820F6" w:rsidRPr="002820F6" w:rsidRDefault="002820F6" w:rsidP="002820F6">
      <w:pPr>
        <w:spacing w:line="480" w:lineRule="auto"/>
        <w:jc w:val="center"/>
        <w:rPr>
          <w:rFonts w:ascii="Times New Roman" w:hAnsi="Times New Roman" w:cs="Times New Roman"/>
          <w:sz w:val="24"/>
          <w:szCs w:val="24"/>
        </w:rPr>
      </w:pPr>
      <w:r w:rsidRPr="002820F6">
        <w:rPr>
          <w:rFonts w:ascii="Times New Roman" w:hAnsi="Times New Roman" w:cs="Times New Roman"/>
          <w:sz w:val="24"/>
          <w:szCs w:val="24"/>
        </w:rPr>
        <w:t>Institution</w:t>
      </w:r>
    </w:p>
    <w:p w:rsidR="002820F6" w:rsidRPr="002820F6" w:rsidRDefault="002820F6" w:rsidP="002820F6">
      <w:pPr>
        <w:spacing w:line="480" w:lineRule="auto"/>
        <w:jc w:val="center"/>
        <w:rPr>
          <w:rFonts w:ascii="Times New Roman" w:hAnsi="Times New Roman" w:cs="Times New Roman"/>
          <w:sz w:val="24"/>
          <w:szCs w:val="24"/>
        </w:rPr>
      </w:pPr>
      <w:r w:rsidRPr="002820F6">
        <w:rPr>
          <w:rFonts w:ascii="Times New Roman" w:hAnsi="Times New Roman" w:cs="Times New Roman"/>
          <w:sz w:val="24"/>
          <w:szCs w:val="24"/>
        </w:rPr>
        <w:t>Date</w:t>
      </w:r>
    </w:p>
    <w:p w:rsidR="002820F6" w:rsidRPr="002820F6" w:rsidRDefault="002820F6" w:rsidP="002820F6">
      <w:pPr>
        <w:spacing w:line="480" w:lineRule="auto"/>
        <w:rPr>
          <w:rFonts w:ascii="Times New Roman" w:hAnsi="Times New Roman" w:cs="Times New Roman"/>
          <w:sz w:val="24"/>
          <w:szCs w:val="24"/>
        </w:rPr>
      </w:pPr>
    </w:p>
    <w:p w:rsidR="002820F6" w:rsidRPr="002820F6" w:rsidRDefault="002820F6" w:rsidP="002820F6">
      <w:pPr>
        <w:spacing w:line="480" w:lineRule="auto"/>
        <w:rPr>
          <w:rFonts w:ascii="Times New Roman" w:hAnsi="Times New Roman" w:cs="Times New Roman"/>
          <w:sz w:val="24"/>
          <w:szCs w:val="24"/>
        </w:rPr>
      </w:pPr>
    </w:p>
    <w:p w:rsidR="002820F6" w:rsidRPr="002820F6" w:rsidRDefault="002820F6" w:rsidP="002820F6">
      <w:pPr>
        <w:spacing w:line="480" w:lineRule="auto"/>
        <w:rPr>
          <w:rFonts w:ascii="Times New Roman" w:hAnsi="Times New Roman" w:cs="Times New Roman"/>
          <w:sz w:val="24"/>
          <w:szCs w:val="24"/>
        </w:rPr>
      </w:pPr>
    </w:p>
    <w:p w:rsidR="002820F6" w:rsidRPr="002820F6" w:rsidRDefault="002820F6" w:rsidP="002820F6">
      <w:pPr>
        <w:spacing w:line="480" w:lineRule="auto"/>
        <w:rPr>
          <w:rFonts w:ascii="Times New Roman" w:hAnsi="Times New Roman" w:cs="Times New Roman"/>
          <w:sz w:val="24"/>
          <w:szCs w:val="24"/>
        </w:rPr>
      </w:pPr>
    </w:p>
    <w:p w:rsidR="002820F6" w:rsidRDefault="002820F6" w:rsidP="002820F6">
      <w:pPr>
        <w:spacing w:line="480" w:lineRule="auto"/>
        <w:rPr>
          <w:rFonts w:ascii="Times New Roman" w:hAnsi="Times New Roman" w:cs="Times New Roman"/>
          <w:sz w:val="24"/>
          <w:szCs w:val="24"/>
        </w:rPr>
      </w:pPr>
    </w:p>
    <w:p w:rsidR="002820F6" w:rsidRDefault="002820F6" w:rsidP="002820F6">
      <w:pPr>
        <w:spacing w:line="480" w:lineRule="auto"/>
        <w:rPr>
          <w:rFonts w:ascii="Times New Roman" w:hAnsi="Times New Roman" w:cs="Times New Roman"/>
          <w:sz w:val="24"/>
          <w:szCs w:val="24"/>
        </w:rPr>
      </w:pPr>
    </w:p>
    <w:p w:rsidR="002820F6" w:rsidRDefault="002820F6" w:rsidP="002820F6">
      <w:pPr>
        <w:spacing w:line="480" w:lineRule="auto"/>
        <w:rPr>
          <w:rFonts w:ascii="Times New Roman" w:hAnsi="Times New Roman" w:cs="Times New Roman"/>
          <w:sz w:val="24"/>
          <w:szCs w:val="24"/>
        </w:rPr>
      </w:pPr>
    </w:p>
    <w:p w:rsidR="007325F2" w:rsidRPr="002820F6" w:rsidRDefault="007325F2" w:rsidP="002820F6">
      <w:pPr>
        <w:spacing w:line="480" w:lineRule="auto"/>
        <w:jc w:val="center"/>
        <w:rPr>
          <w:rFonts w:ascii="Times New Roman" w:hAnsi="Times New Roman" w:cs="Times New Roman"/>
          <w:sz w:val="24"/>
          <w:szCs w:val="24"/>
        </w:rPr>
      </w:pPr>
      <w:r w:rsidRPr="002820F6">
        <w:rPr>
          <w:rFonts w:ascii="Times New Roman" w:hAnsi="Times New Roman" w:cs="Times New Roman"/>
          <w:sz w:val="24"/>
          <w:szCs w:val="24"/>
        </w:rPr>
        <w:lastRenderedPageBreak/>
        <w:t>Programs and Services for Aging Population</w:t>
      </w:r>
    </w:p>
    <w:p w:rsidR="007325F2" w:rsidRPr="002820F6" w:rsidRDefault="007325F2" w:rsidP="002820F6">
      <w:pPr>
        <w:spacing w:line="480" w:lineRule="auto"/>
        <w:ind w:firstLine="720"/>
        <w:rPr>
          <w:rFonts w:ascii="Times New Roman" w:hAnsi="Times New Roman" w:cs="Times New Roman"/>
          <w:sz w:val="24"/>
          <w:szCs w:val="24"/>
        </w:rPr>
      </w:pPr>
      <w:r w:rsidRPr="002820F6">
        <w:rPr>
          <w:rFonts w:ascii="Times New Roman" w:hAnsi="Times New Roman" w:cs="Times New Roman"/>
          <w:sz w:val="24"/>
          <w:szCs w:val="24"/>
        </w:rPr>
        <w:t xml:space="preserve">Over the past 50 years, programs and services for the aging population have been under the coordination of the Administration on Aging. The programs and services for the aging population range from community support, personnel training, </w:t>
      </w:r>
      <w:r w:rsidR="002820F6" w:rsidRPr="002820F6">
        <w:rPr>
          <w:rFonts w:ascii="Times New Roman" w:hAnsi="Times New Roman" w:cs="Times New Roman"/>
          <w:sz w:val="24"/>
          <w:szCs w:val="24"/>
        </w:rPr>
        <w:t>and research</w:t>
      </w:r>
      <w:r w:rsidRPr="002820F6">
        <w:rPr>
          <w:rFonts w:ascii="Times New Roman" w:hAnsi="Times New Roman" w:cs="Times New Roman"/>
          <w:sz w:val="24"/>
          <w:szCs w:val="24"/>
        </w:rPr>
        <w:t xml:space="preserve"> on the elderly, grants to development of recreational infrastructures and counseling centers. The last 50 years have witnessed certain legislations in favor of the aging population</w:t>
      </w:r>
      <w:r w:rsidR="002820F6" w:rsidRPr="002820F6">
        <w:rPr>
          <w:rFonts w:ascii="Times New Roman" w:hAnsi="Times New Roman" w:cs="Times New Roman"/>
          <w:sz w:val="24"/>
          <w:szCs w:val="24"/>
        </w:rPr>
        <w:t>.</w:t>
      </w:r>
      <w:r w:rsidRPr="002820F6">
        <w:rPr>
          <w:rFonts w:ascii="Times New Roman" w:hAnsi="Times New Roman" w:cs="Times New Roman"/>
          <w:sz w:val="24"/>
          <w:szCs w:val="24"/>
        </w:rPr>
        <w:t xml:space="preserve"> The reign of President Richard Nixon saw an increase in allocation to the Administration on Aging. In 1971, the White House Conference on Aging (WHCoA) held during the rule of President Nixon resolved to provide funding for research and training initiatives for the aging population (Gendron, Inker &amp; Welleford, 2019). The conference also focused on social welfare and security of the aging population. Key outcomes from the conference were a resolution to form the National Institute on Aging and the Center for the Study of Mental Health and Aging, a subset within the National Institute of Mental Health.</w:t>
      </w:r>
    </w:p>
    <w:p w:rsidR="007325F2" w:rsidRPr="002820F6" w:rsidRDefault="007325F2" w:rsidP="002820F6">
      <w:pPr>
        <w:spacing w:line="480" w:lineRule="auto"/>
        <w:ind w:firstLine="720"/>
        <w:rPr>
          <w:rFonts w:ascii="Times New Roman" w:hAnsi="Times New Roman" w:cs="Times New Roman"/>
          <w:sz w:val="24"/>
          <w:szCs w:val="24"/>
        </w:rPr>
      </w:pPr>
      <w:r w:rsidRPr="002820F6">
        <w:rPr>
          <w:rFonts w:ascii="Times New Roman" w:hAnsi="Times New Roman" w:cs="Times New Roman"/>
          <w:sz w:val="24"/>
          <w:szCs w:val="24"/>
        </w:rPr>
        <w:t xml:space="preserve">Another key outcome of the conference was the establishment of a national nutrition program for the aging population. In 1972, the Older Americans Act Title VII was created in order to allow for financing of the nutritional program that targeted the aging population (Brewster, Kunkel, Straker &amp; Curry, 2018). The nutrition program is still effective in current times. In 1973, the Older American Act (OAA) was restructured to create the Area Agencies on Aging (AAA). An Area Agency on Aging is a state agency, either private or public, mandated to handle the needs and concerns of older Americans in local settings.  Friedman &amp; Spassiani (2017), stated that in 2003, the Medicare Prescription Drug, Improvement, and Modernization Act of 2003 was set up.  Once put into practice, the enactment would offer a prescription drug benefit to the aging population. In 2010, the Patient Protection and Affordable Care Act (ACA) </w:t>
      </w:r>
      <w:r w:rsidRPr="002820F6">
        <w:rPr>
          <w:rFonts w:ascii="Times New Roman" w:hAnsi="Times New Roman" w:cs="Times New Roman"/>
          <w:sz w:val="24"/>
          <w:szCs w:val="24"/>
        </w:rPr>
        <w:lastRenderedPageBreak/>
        <w:t xml:space="preserve">were implemented (Alcalá et al. 2017). The implementation of the ACA meant that health services would be easily affordable and accessible. The aging population has been positively affected by the introduction of the ACA since this population is the highest spender in terms of medication costs. Additionally, in 2011, the Community Living Assistance and Supports (CLASS) program was enacted. The CLASS is a voluntary insurance program that caters for solvency at the age of 75 years (Friedman &amp; Spassiani, 2017). The WHCoA held in 2015 under the reign of President Obama primarily focused on healthy aging for all citizens (Gendron, Inker &amp; Welleford, 2019). The conference focused on 4 concepts, which included healthy aging, retirement welfare and justice for the elderly.  </w:t>
      </w:r>
    </w:p>
    <w:p w:rsidR="007325F2" w:rsidRPr="002820F6" w:rsidRDefault="007325F2" w:rsidP="002820F6">
      <w:pPr>
        <w:spacing w:line="480" w:lineRule="auto"/>
        <w:ind w:firstLine="720"/>
        <w:rPr>
          <w:rFonts w:ascii="Times New Roman" w:hAnsi="Times New Roman" w:cs="Times New Roman"/>
          <w:sz w:val="24"/>
          <w:szCs w:val="24"/>
        </w:rPr>
      </w:pPr>
      <w:r w:rsidRPr="002820F6">
        <w:rPr>
          <w:rFonts w:ascii="Times New Roman" w:hAnsi="Times New Roman" w:cs="Times New Roman"/>
          <w:sz w:val="24"/>
          <w:szCs w:val="24"/>
        </w:rPr>
        <w:t>One specific example of the programs aimed at helping the aging population is the Area Agencies on Aging (AAA) program. According to Brewster, Kunkel, Straker &amp; Curry (2018), the AAA program addresses the needs of the older persons in the local areas. The Older American Act created the Native American Aging Programs within the Area Agencies on Aging. The Native American Aging Programs facilitates channeling of funds to tribal communities in a local setting while the Area Agencies on Aging provides funds at the state level. Through the State Unit on Aging (SUA), a state is divided into service and planning units. The service and planning units are identified by considering the need for nutritional services, supportive activities and multipurpose centers needed by the aging population. The composition of the aging network at the national level includes 230 Native American Aging Programs, 47 offices at the state level and 655 Area Agencies on Aging (Brewster, Kunkel, Straker &amp; Curry, 2018). The responsibilities of Area Agencies on Aging include the duty to identify any service or program gap in the society and find ways to fill such gaps, to watch over service providers and assess the effectiveness of the program and identify and evaluate the needs of the elderly in the society.</w:t>
      </w:r>
    </w:p>
    <w:p w:rsidR="007325F2" w:rsidRPr="002820F6" w:rsidRDefault="007325F2" w:rsidP="002820F6">
      <w:pPr>
        <w:spacing w:line="480" w:lineRule="auto"/>
        <w:ind w:firstLine="720"/>
        <w:rPr>
          <w:rFonts w:ascii="Times New Roman" w:hAnsi="Times New Roman" w:cs="Times New Roman"/>
          <w:sz w:val="24"/>
          <w:szCs w:val="24"/>
        </w:rPr>
      </w:pPr>
      <w:r w:rsidRPr="002820F6">
        <w:rPr>
          <w:rFonts w:ascii="Times New Roman" w:hAnsi="Times New Roman" w:cs="Times New Roman"/>
          <w:sz w:val="24"/>
          <w:szCs w:val="24"/>
        </w:rPr>
        <w:lastRenderedPageBreak/>
        <w:t>Another example is the National Nutrition Program, which is a community-based nutrition program that serves millions of senior persons in the entire country. The National Nutrition Program targets senior residents who are in dire need of economic and social needs. In addition, the program has transformed to provide education and counseling services concerning nutrition. The services and programs targeting the aging population have experienced several changes like the scrapping of the Community Living Assistance and Supports (CLASS) program due to its ineffectiveness. The CLASS program was a subsidiary of the Patient Protection and Affordable Care Act.</w:t>
      </w: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2820F6" w:rsidRDefault="002820F6" w:rsidP="002820F6">
      <w:pPr>
        <w:spacing w:line="480" w:lineRule="auto"/>
        <w:jc w:val="center"/>
        <w:rPr>
          <w:rFonts w:ascii="Times New Roman" w:hAnsi="Times New Roman" w:cs="Times New Roman"/>
          <w:sz w:val="24"/>
          <w:szCs w:val="24"/>
        </w:rPr>
      </w:pPr>
    </w:p>
    <w:p w:rsidR="007325F2" w:rsidRPr="002820F6" w:rsidRDefault="007325F2" w:rsidP="002820F6">
      <w:pPr>
        <w:spacing w:line="480" w:lineRule="auto"/>
        <w:jc w:val="center"/>
        <w:rPr>
          <w:rFonts w:ascii="Times New Roman" w:hAnsi="Times New Roman" w:cs="Times New Roman"/>
          <w:sz w:val="24"/>
          <w:szCs w:val="24"/>
        </w:rPr>
      </w:pPr>
      <w:r w:rsidRPr="002820F6">
        <w:rPr>
          <w:rFonts w:ascii="Times New Roman" w:hAnsi="Times New Roman" w:cs="Times New Roman"/>
          <w:sz w:val="24"/>
          <w:szCs w:val="24"/>
        </w:rPr>
        <w:lastRenderedPageBreak/>
        <w:t>References</w:t>
      </w:r>
    </w:p>
    <w:p w:rsidR="007325F2" w:rsidRPr="002820F6" w:rsidRDefault="007325F2" w:rsidP="002820F6">
      <w:pPr>
        <w:spacing w:line="480" w:lineRule="auto"/>
        <w:ind w:left="720" w:hanging="720"/>
        <w:rPr>
          <w:rFonts w:ascii="Times New Roman" w:hAnsi="Times New Roman" w:cs="Times New Roman"/>
          <w:sz w:val="24"/>
          <w:szCs w:val="24"/>
        </w:rPr>
      </w:pPr>
      <w:r w:rsidRPr="002820F6">
        <w:rPr>
          <w:rFonts w:ascii="Times New Roman" w:hAnsi="Times New Roman" w:cs="Times New Roman"/>
          <w:sz w:val="24"/>
          <w:szCs w:val="24"/>
        </w:rPr>
        <w:t xml:space="preserve">Alcalá, H. E., Chen, J., </w:t>
      </w:r>
      <w:proofErr w:type="spellStart"/>
      <w:r w:rsidRPr="002820F6">
        <w:rPr>
          <w:rFonts w:ascii="Times New Roman" w:hAnsi="Times New Roman" w:cs="Times New Roman"/>
          <w:sz w:val="24"/>
          <w:szCs w:val="24"/>
        </w:rPr>
        <w:t>Langellier</w:t>
      </w:r>
      <w:proofErr w:type="spellEnd"/>
      <w:r w:rsidRPr="002820F6">
        <w:rPr>
          <w:rFonts w:ascii="Times New Roman" w:hAnsi="Times New Roman" w:cs="Times New Roman"/>
          <w:sz w:val="24"/>
          <w:szCs w:val="24"/>
        </w:rPr>
        <w:t>, B. A., Roby, D. H., &amp; Ortega, A. N. (2017). Impact of the Affordable Care Act on health care access and utilization among Latinos. The Journal of the American Board of Family Medicine, 30(1), 52-62.</w:t>
      </w:r>
    </w:p>
    <w:p w:rsidR="007325F2" w:rsidRPr="002820F6" w:rsidRDefault="007325F2" w:rsidP="002820F6">
      <w:pPr>
        <w:spacing w:line="480" w:lineRule="auto"/>
        <w:ind w:left="720" w:hanging="720"/>
        <w:rPr>
          <w:rFonts w:ascii="Times New Roman" w:hAnsi="Times New Roman" w:cs="Times New Roman"/>
          <w:sz w:val="24"/>
          <w:szCs w:val="24"/>
        </w:rPr>
      </w:pPr>
      <w:r w:rsidRPr="002820F6">
        <w:rPr>
          <w:rFonts w:ascii="Times New Roman" w:hAnsi="Times New Roman" w:cs="Times New Roman"/>
          <w:sz w:val="24"/>
          <w:szCs w:val="24"/>
        </w:rPr>
        <w:t>Brewster, A. L., Kunkel, S., Straker, J., &amp; Curry, L. A. (2018). Cross-</w:t>
      </w:r>
      <w:proofErr w:type="spellStart"/>
      <w:r w:rsidRPr="002820F6">
        <w:rPr>
          <w:rFonts w:ascii="Times New Roman" w:hAnsi="Times New Roman" w:cs="Times New Roman"/>
          <w:sz w:val="24"/>
          <w:szCs w:val="24"/>
        </w:rPr>
        <w:t>sectoral</w:t>
      </w:r>
      <w:proofErr w:type="spellEnd"/>
      <w:r w:rsidRPr="002820F6">
        <w:rPr>
          <w:rFonts w:ascii="Times New Roman" w:hAnsi="Times New Roman" w:cs="Times New Roman"/>
          <w:sz w:val="24"/>
          <w:szCs w:val="24"/>
        </w:rPr>
        <w:t xml:space="preserve"> partnerships by area agencies on aging: associations with health care use and spending. Health Affairs, 37(1), 15-21.</w:t>
      </w:r>
    </w:p>
    <w:p w:rsidR="007325F2" w:rsidRPr="002820F6" w:rsidRDefault="007325F2" w:rsidP="002820F6">
      <w:pPr>
        <w:spacing w:line="480" w:lineRule="auto"/>
        <w:ind w:left="720" w:hanging="720"/>
        <w:rPr>
          <w:rFonts w:ascii="Times New Roman" w:hAnsi="Times New Roman" w:cs="Times New Roman"/>
          <w:sz w:val="24"/>
          <w:szCs w:val="24"/>
        </w:rPr>
      </w:pPr>
      <w:r w:rsidRPr="002820F6">
        <w:rPr>
          <w:rFonts w:ascii="Times New Roman" w:hAnsi="Times New Roman" w:cs="Times New Roman"/>
          <w:sz w:val="24"/>
          <w:szCs w:val="24"/>
        </w:rPr>
        <w:t>Friedman, C., &amp; Spassiani, N. A. (2017). Getting out there: Community support services for people with intellectual and developmental disabilities in Medicaid HCBS waivers. Inclusion, 5(1), 33-44.</w:t>
      </w:r>
    </w:p>
    <w:p w:rsidR="007325F2" w:rsidRPr="002820F6" w:rsidRDefault="007325F2" w:rsidP="002820F6">
      <w:pPr>
        <w:spacing w:line="480" w:lineRule="auto"/>
        <w:ind w:left="720" w:hanging="720"/>
        <w:rPr>
          <w:rFonts w:ascii="Times New Roman" w:hAnsi="Times New Roman" w:cs="Times New Roman"/>
          <w:sz w:val="24"/>
          <w:szCs w:val="24"/>
        </w:rPr>
      </w:pPr>
      <w:r w:rsidRPr="002820F6">
        <w:rPr>
          <w:rFonts w:ascii="Times New Roman" w:hAnsi="Times New Roman" w:cs="Times New Roman"/>
          <w:sz w:val="24"/>
          <w:szCs w:val="24"/>
        </w:rPr>
        <w:t xml:space="preserve">Gendron, T. L., </w:t>
      </w:r>
      <w:bookmarkStart w:id="0" w:name="_GoBack"/>
      <w:r w:rsidRPr="002820F6">
        <w:rPr>
          <w:rFonts w:ascii="Times New Roman" w:hAnsi="Times New Roman" w:cs="Times New Roman"/>
          <w:sz w:val="24"/>
          <w:szCs w:val="24"/>
        </w:rPr>
        <w:t>Inker</w:t>
      </w:r>
      <w:bookmarkEnd w:id="0"/>
      <w:r w:rsidRPr="002820F6">
        <w:rPr>
          <w:rFonts w:ascii="Times New Roman" w:hAnsi="Times New Roman" w:cs="Times New Roman"/>
          <w:sz w:val="24"/>
          <w:szCs w:val="24"/>
        </w:rPr>
        <w:t>, J., &amp; Welleford, E. A. (2018). A theory of relational ageism: A discourse analysis of the 2015 White House Conference on Aging. The Gerontologist, 58(2), 242-250.</w:t>
      </w:r>
    </w:p>
    <w:p w:rsidR="007325F2" w:rsidRPr="002820F6" w:rsidRDefault="007325F2" w:rsidP="002820F6">
      <w:pPr>
        <w:spacing w:line="480" w:lineRule="auto"/>
        <w:rPr>
          <w:rFonts w:ascii="Times New Roman" w:hAnsi="Times New Roman" w:cs="Times New Roman"/>
          <w:sz w:val="24"/>
          <w:szCs w:val="24"/>
        </w:rPr>
      </w:pPr>
    </w:p>
    <w:p w:rsidR="007325F2" w:rsidRPr="002820F6" w:rsidRDefault="007325F2" w:rsidP="002820F6">
      <w:pPr>
        <w:spacing w:line="480" w:lineRule="auto"/>
        <w:rPr>
          <w:rFonts w:ascii="Times New Roman" w:hAnsi="Times New Roman" w:cs="Times New Roman"/>
          <w:sz w:val="24"/>
          <w:szCs w:val="24"/>
        </w:rPr>
      </w:pPr>
    </w:p>
    <w:p w:rsidR="007325F2" w:rsidRPr="002820F6" w:rsidRDefault="007325F2" w:rsidP="002820F6">
      <w:pPr>
        <w:spacing w:line="480" w:lineRule="auto"/>
        <w:rPr>
          <w:rFonts w:ascii="Times New Roman" w:hAnsi="Times New Roman" w:cs="Times New Roman"/>
          <w:sz w:val="24"/>
          <w:szCs w:val="24"/>
        </w:rPr>
      </w:pPr>
    </w:p>
    <w:p w:rsidR="007325F2" w:rsidRPr="002820F6" w:rsidRDefault="007325F2" w:rsidP="002820F6">
      <w:pPr>
        <w:spacing w:line="480" w:lineRule="auto"/>
        <w:rPr>
          <w:rFonts w:ascii="Times New Roman" w:hAnsi="Times New Roman" w:cs="Times New Roman"/>
          <w:sz w:val="24"/>
          <w:szCs w:val="24"/>
        </w:rPr>
      </w:pPr>
      <w:r w:rsidRPr="002820F6">
        <w:rPr>
          <w:rFonts w:ascii="Times New Roman" w:hAnsi="Times New Roman" w:cs="Times New Roman"/>
          <w:sz w:val="24"/>
          <w:szCs w:val="24"/>
        </w:rPr>
        <w:t xml:space="preserve">     </w:t>
      </w:r>
    </w:p>
    <w:p w:rsidR="00F2190F" w:rsidRPr="002820F6" w:rsidRDefault="007325F2" w:rsidP="002820F6">
      <w:pPr>
        <w:spacing w:line="480" w:lineRule="auto"/>
        <w:rPr>
          <w:rFonts w:ascii="Times New Roman" w:hAnsi="Times New Roman" w:cs="Times New Roman"/>
          <w:sz w:val="24"/>
          <w:szCs w:val="24"/>
        </w:rPr>
      </w:pPr>
      <w:r w:rsidRPr="002820F6">
        <w:rPr>
          <w:rFonts w:ascii="Times New Roman" w:hAnsi="Times New Roman" w:cs="Times New Roman"/>
          <w:sz w:val="24"/>
          <w:szCs w:val="24"/>
        </w:rPr>
        <w:t xml:space="preserve">                </w:t>
      </w:r>
    </w:p>
    <w:sectPr w:rsidR="00F2190F" w:rsidRPr="002820F6" w:rsidSect="002820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2D0" w:rsidRDefault="006F42D0" w:rsidP="002820F6">
      <w:pPr>
        <w:spacing w:after="0" w:line="240" w:lineRule="auto"/>
      </w:pPr>
      <w:r>
        <w:separator/>
      </w:r>
    </w:p>
  </w:endnote>
  <w:endnote w:type="continuationSeparator" w:id="0">
    <w:p w:rsidR="006F42D0" w:rsidRDefault="006F42D0" w:rsidP="00282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2D0" w:rsidRDefault="006F42D0" w:rsidP="002820F6">
      <w:pPr>
        <w:spacing w:after="0" w:line="240" w:lineRule="auto"/>
      </w:pPr>
      <w:r>
        <w:separator/>
      </w:r>
    </w:p>
  </w:footnote>
  <w:footnote w:type="continuationSeparator" w:id="0">
    <w:p w:rsidR="006F42D0" w:rsidRDefault="006F42D0" w:rsidP="002820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0F6" w:rsidRPr="002820F6" w:rsidRDefault="002820F6">
    <w:pPr>
      <w:pStyle w:val="Header"/>
      <w:rPr>
        <w:rFonts w:ascii="Times New Roman" w:hAnsi="Times New Roman" w:cs="Times New Roman"/>
        <w:sz w:val="24"/>
        <w:szCs w:val="24"/>
      </w:rPr>
    </w:pPr>
    <w:r w:rsidRPr="002820F6">
      <w:rPr>
        <w:rFonts w:ascii="Times New Roman" w:hAnsi="Times New Roman" w:cs="Times New Roman"/>
        <w:sz w:val="24"/>
        <w:szCs w:val="24"/>
      </w:rPr>
      <w:t>PROGRAMS AND SERVICES FOR AGING POPULATION</w:t>
    </w:r>
    <w:r w:rsidRPr="002820F6">
      <w:rPr>
        <w:rFonts w:ascii="Times New Roman" w:hAnsi="Times New Roman" w:cs="Times New Roman"/>
        <w:sz w:val="24"/>
        <w:szCs w:val="24"/>
      </w:rPr>
      <w:tab/>
    </w:r>
    <w:r w:rsidRPr="002820F6">
      <w:rPr>
        <w:rFonts w:ascii="Times New Roman" w:hAnsi="Times New Roman" w:cs="Times New Roman"/>
        <w:sz w:val="24"/>
        <w:szCs w:val="24"/>
      </w:rPr>
      <w:fldChar w:fldCharType="begin"/>
    </w:r>
    <w:r w:rsidRPr="002820F6">
      <w:rPr>
        <w:rFonts w:ascii="Times New Roman" w:hAnsi="Times New Roman" w:cs="Times New Roman"/>
        <w:sz w:val="24"/>
        <w:szCs w:val="24"/>
      </w:rPr>
      <w:instrText xml:space="preserve"> PAGE   \* MERGEFORMAT </w:instrText>
    </w:r>
    <w:r w:rsidRPr="002820F6">
      <w:rPr>
        <w:rFonts w:ascii="Times New Roman" w:hAnsi="Times New Roman" w:cs="Times New Roman"/>
        <w:sz w:val="24"/>
        <w:szCs w:val="24"/>
      </w:rPr>
      <w:fldChar w:fldCharType="separate"/>
    </w:r>
    <w:r>
      <w:rPr>
        <w:rFonts w:ascii="Times New Roman" w:hAnsi="Times New Roman" w:cs="Times New Roman"/>
        <w:noProof/>
        <w:sz w:val="24"/>
        <w:szCs w:val="24"/>
      </w:rPr>
      <w:t>3</w:t>
    </w:r>
    <w:r w:rsidRPr="002820F6">
      <w:rPr>
        <w:rFonts w:ascii="Times New Roman" w:hAnsi="Times New Roman" w:cs="Times New Roman"/>
        <w:noProof/>
        <w:sz w:val="24"/>
        <w:szCs w:val="24"/>
      </w:rPr>
      <w:fldChar w:fldCharType="end"/>
    </w:r>
  </w:p>
  <w:p w:rsidR="002820F6" w:rsidRDefault="002820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0F6" w:rsidRPr="002820F6" w:rsidRDefault="002820F6">
    <w:pPr>
      <w:pStyle w:val="Header"/>
      <w:rPr>
        <w:rFonts w:ascii="Times New Roman" w:hAnsi="Times New Roman" w:cs="Times New Roman"/>
        <w:sz w:val="24"/>
        <w:szCs w:val="24"/>
      </w:rPr>
    </w:pPr>
    <w:r w:rsidRPr="002820F6">
      <w:rPr>
        <w:rFonts w:ascii="Times New Roman" w:hAnsi="Times New Roman" w:cs="Times New Roman"/>
        <w:sz w:val="24"/>
        <w:szCs w:val="24"/>
      </w:rPr>
      <w:t>Running head: PROGRAMS AND SERVICES FOR AGING POPULATION</w:t>
    </w:r>
    <w:r w:rsidRPr="002820F6">
      <w:rPr>
        <w:rFonts w:ascii="Times New Roman" w:hAnsi="Times New Roman" w:cs="Times New Roman"/>
        <w:sz w:val="24"/>
        <w:szCs w:val="24"/>
      </w:rPr>
      <w:tab/>
    </w:r>
    <w:r w:rsidRPr="002820F6">
      <w:rPr>
        <w:rFonts w:ascii="Times New Roman" w:hAnsi="Times New Roman" w:cs="Times New Roman"/>
        <w:sz w:val="24"/>
        <w:szCs w:val="24"/>
      </w:rPr>
      <w:fldChar w:fldCharType="begin"/>
    </w:r>
    <w:r w:rsidRPr="002820F6">
      <w:rPr>
        <w:rFonts w:ascii="Times New Roman" w:hAnsi="Times New Roman" w:cs="Times New Roman"/>
        <w:sz w:val="24"/>
        <w:szCs w:val="24"/>
      </w:rPr>
      <w:instrText xml:space="preserve"> PAGE   \* MERGEFORMAT </w:instrText>
    </w:r>
    <w:r w:rsidRPr="002820F6">
      <w:rPr>
        <w:rFonts w:ascii="Times New Roman" w:hAnsi="Times New Roman" w:cs="Times New Roman"/>
        <w:sz w:val="24"/>
        <w:szCs w:val="24"/>
      </w:rPr>
      <w:fldChar w:fldCharType="separate"/>
    </w:r>
    <w:r>
      <w:rPr>
        <w:rFonts w:ascii="Times New Roman" w:hAnsi="Times New Roman" w:cs="Times New Roman"/>
        <w:noProof/>
        <w:sz w:val="24"/>
        <w:szCs w:val="24"/>
      </w:rPr>
      <w:t>1</w:t>
    </w:r>
    <w:r w:rsidRPr="002820F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90F"/>
    <w:rsid w:val="000B07DA"/>
    <w:rsid w:val="001D0542"/>
    <w:rsid w:val="00277E17"/>
    <w:rsid w:val="002820F6"/>
    <w:rsid w:val="006F42D0"/>
    <w:rsid w:val="00713195"/>
    <w:rsid w:val="007325F2"/>
    <w:rsid w:val="007F6F7A"/>
    <w:rsid w:val="00AF377D"/>
    <w:rsid w:val="00B210AC"/>
    <w:rsid w:val="00B77C39"/>
    <w:rsid w:val="00C0645A"/>
    <w:rsid w:val="00C51134"/>
    <w:rsid w:val="00CE5ED1"/>
    <w:rsid w:val="00D740D5"/>
    <w:rsid w:val="00E66E1F"/>
    <w:rsid w:val="00F21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1D0542"/>
  </w:style>
  <w:style w:type="paragraph" w:styleId="Header">
    <w:name w:val="header"/>
    <w:basedOn w:val="Normal"/>
    <w:link w:val="HeaderChar"/>
    <w:uiPriority w:val="99"/>
    <w:unhideWhenUsed/>
    <w:rsid w:val="00282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0F6"/>
  </w:style>
  <w:style w:type="paragraph" w:styleId="Footer">
    <w:name w:val="footer"/>
    <w:basedOn w:val="Normal"/>
    <w:link w:val="FooterChar"/>
    <w:uiPriority w:val="99"/>
    <w:unhideWhenUsed/>
    <w:rsid w:val="00282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0F6"/>
  </w:style>
  <w:style w:type="paragraph" w:styleId="BalloonText">
    <w:name w:val="Balloon Text"/>
    <w:basedOn w:val="Normal"/>
    <w:link w:val="BalloonTextChar"/>
    <w:uiPriority w:val="99"/>
    <w:semiHidden/>
    <w:unhideWhenUsed/>
    <w:rsid w:val="00282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0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1D0542"/>
  </w:style>
  <w:style w:type="paragraph" w:styleId="Header">
    <w:name w:val="header"/>
    <w:basedOn w:val="Normal"/>
    <w:link w:val="HeaderChar"/>
    <w:uiPriority w:val="99"/>
    <w:unhideWhenUsed/>
    <w:rsid w:val="00282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0F6"/>
  </w:style>
  <w:style w:type="paragraph" w:styleId="Footer">
    <w:name w:val="footer"/>
    <w:basedOn w:val="Normal"/>
    <w:link w:val="FooterChar"/>
    <w:uiPriority w:val="99"/>
    <w:unhideWhenUsed/>
    <w:rsid w:val="00282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0F6"/>
  </w:style>
  <w:style w:type="paragraph" w:styleId="BalloonText">
    <w:name w:val="Balloon Text"/>
    <w:basedOn w:val="Normal"/>
    <w:link w:val="BalloonTextChar"/>
    <w:uiPriority w:val="99"/>
    <w:semiHidden/>
    <w:unhideWhenUsed/>
    <w:rsid w:val="00282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0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50157">
      <w:bodyDiv w:val="1"/>
      <w:marLeft w:val="0"/>
      <w:marRight w:val="0"/>
      <w:marTop w:val="0"/>
      <w:marBottom w:val="0"/>
      <w:divBdr>
        <w:top w:val="none" w:sz="0" w:space="0" w:color="auto"/>
        <w:left w:val="none" w:sz="0" w:space="0" w:color="auto"/>
        <w:bottom w:val="none" w:sz="0" w:space="0" w:color="auto"/>
        <w:right w:val="none" w:sz="0" w:space="0" w:color="auto"/>
      </w:divBdr>
      <w:divsChild>
        <w:div w:id="1239711050">
          <w:marLeft w:val="0"/>
          <w:marRight w:val="0"/>
          <w:marTop w:val="0"/>
          <w:marBottom w:val="0"/>
          <w:divBdr>
            <w:top w:val="none" w:sz="0" w:space="0" w:color="auto"/>
            <w:left w:val="none" w:sz="0" w:space="0" w:color="auto"/>
            <w:bottom w:val="none" w:sz="0" w:space="0" w:color="auto"/>
            <w:right w:val="none" w:sz="0" w:space="0" w:color="auto"/>
          </w:divBdr>
        </w:div>
      </w:divsChild>
    </w:div>
    <w:div w:id="1739014954">
      <w:bodyDiv w:val="1"/>
      <w:marLeft w:val="0"/>
      <w:marRight w:val="0"/>
      <w:marTop w:val="0"/>
      <w:marBottom w:val="0"/>
      <w:divBdr>
        <w:top w:val="none" w:sz="0" w:space="0" w:color="auto"/>
        <w:left w:val="none" w:sz="0" w:space="0" w:color="auto"/>
        <w:bottom w:val="none" w:sz="0" w:space="0" w:color="auto"/>
        <w:right w:val="none" w:sz="0" w:space="0" w:color="auto"/>
      </w:divBdr>
      <w:divsChild>
        <w:div w:id="437063704">
          <w:marLeft w:val="0"/>
          <w:marRight w:val="0"/>
          <w:marTop w:val="0"/>
          <w:marBottom w:val="0"/>
          <w:divBdr>
            <w:top w:val="none" w:sz="0" w:space="0" w:color="auto"/>
            <w:left w:val="none" w:sz="0" w:space="0" w:color="auto"/>
            <w:bottom w:val="none" w:sz="0" w:space="0" w:color="auto"/>
            <w:right w:val="none" w:sz="0" w:space="0" w:color="auto"/>
          </w:divBdr>
        </w:div>
      </w:divsChild>
    </w:div>
    <w:div w:id="2059543797">
      <w:bodyDiv w:val="1"/>
      <w:marLeft w:val="0"/>
      <w:marRight w:val="0"/>
      <w:marTop w:val="0"/>
      <w:marBottom w:val="0"/>
      <w:divBdr>
        <w:top w:val="none" w:sz="0" w:space="0" w:color="auto"/>
        <w:left w:val="none" w:sz="0" w:space="0" w:color="auto"/>
        <w:bottom w:val="none" w:sz="0" w:space="0" w:color="auto"/>
        <w:right w:val="none" w:sz="0" w:space="0" w:color="auto"/>
      </w:divBdr>
      <w:divsChild>
        <w:div w:id="1401556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2020-06-08T15:21:00Z</dcterms:created>
  <dcterms:modified xsi:type="dcterms:W3CDTF">2020-06-08T15:21:00Z</dcterms:modified>
</cp:coreProperties>
</file>